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33" w:rsidRDefault="00705C33" w:rsidP="00705C33">
      <w:pPr>
        <w:rPr>
          <w:b/>
          <w:sz w:val="28"/>
          <w:szCs w:val="28"/>
        </w:rPr>
      </w:pPr>
    </w:p>
    <w:p w:rsidR="00705C33" w:rsidRPr="00111CF9" w:rsidRDefault="00705C33" w:rsidP="00705C33">
      <w:pPr>
        <w:rPr>
          <w:sz w:val="32"/>
          <w:szCs w:val="32"/>
        </w:rPr>
      </w:pPr>
    </w:p>
    <w:p w:rsidR="00705C33" w:rsidRPr="00111CF9" w:rsidRDefault="00705C33" w:rsidP="00705C33">
      <w:pPr>
        <w:rPr>
          <w:sz w:val="32"/>
          <w:szCs w:val="32"/>
        </w:rPr>
      </w:pPr>
    </w:p>
    <w:p w:rsidR="00705C33" w:rsidRDefault="00705C33" w:rsidP="00705C3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Главам местных администраций</w:t>
      </w:r>
    </w:p>
    <w:p w:rsidR="00705C33" w:rsidRDefault="00705C33" w:rsidP="00705C3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образований</w:t>
      </w:r>
    </w:p>
    <w:p w:rsidR="00705C33" w:rsidRDefault="00705C33" w:rsidP="00705C3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705C33" w:rsidRDefault="00705C33" w:rsidP="00705C33">
      <w:pPr>
        <w:ind w:left="6096"/>
        <w:jc w:val="center"/>
        <w:rPr>
          <w:sz w:val="28"/>
          <w:szCs w:val="28"/>
        </w:rPr>
      </w:pPr>
    </w:p>
    <w:p w:rsidR="00705C33" w:rsidRPr="006554B1" w:rsidRDefault="00705C33" w:rsidP="00705C33">
      <w:pPr>
        <w:ind w:left="5940"/>
        <w:jc w:val="center"/>
        <w:rPr>
          <w:sz w:val="28"/>
          <w:szCs w:val="28"/>
        </w:rPr>
      </w:pPr>
    </w:p>
    <w:p w:rsidR="00705C33" w:rsidRPr="006554B1" w:rsidRDefault="00705C33" w:rsidP="00705C33">
      <w:pPr>
        <w:ind w:left="4500"/>
        <w:rPr>
          <w:sz w:val="28"/>
          <w:szCs w:val="28"/>
        </w:rPr>
      </w:pPr>
    </w:p>
    <w:p w:rsidR="00705C33" w:rsidRPr="006554B1" w:rsidRDefault="00705C33" w:rsidP="00705C33">
      <w:pPr>
        <w:jc w:val="center"/>
        <w:rPr>
          <w:sz w:val="28"/>
          <w:szCs w:val="28"/>
        </w:rPr>
      </w:pPr>
    </w:p>
    <w:p w:rsidR="00705C33" w:rsidRPr="006554B1" w:rsidRDefault="00705C33" w:rsidP="00705C33">
      <w:pPr>
        <w:rPr>
          <w:sz w:val="28"/>
          <w:szCs w:val="28"/>
        </w:rPr>
      </w:pPr>
    </w:p>
    <w:p w:rsidR="00705C33" w:rsidRPr="006554B1" w:rsidRDefault="00705C33" w:rsidP="00705C3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Pr="006554B1">
        <w:rPr>
          <w:sz w:val="28"/>
          <w:szCs w:val="28"/>
        </w:rPr>
        <w:t>!</w:t>
      </w:r>
    </w:p>
    <w:p w:rsidR="00705C33" w:rsidRPr="006554B1" w:rsidRDefault="00705C33" w:rsidP="00705C33">
      <w:pPr>
        <w:jc w:val="both"/>
        <w:rPr>
          <w:sz w:val="28"/>
          <w:szCs w:val="28"/>
        </w:rPr>
      </w:pPr>
    </w:p>
    <w:p w:rsidR="00705C33" w:rsidRDefault="00705C33" w:rsidP="00705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15 Федерального закона от 02.03.2007 </w:t>
      </w:r>
      <w:r>
        <w:rPr>
          <w:sz w:val="28"/>
          <w:szCs w:val="28"/>
        </w:rPr>
        <w:br/>
        <w:t>№ 25-ФЗ «О муниципальной службе в Российской Федерации» (далее – Федеральный закон № 25-ФЗ)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05C33" w:rsidRDefault="00705C33" w:rsidP="00705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Вышеуказанный перечень лиц формируется на основе перечня должностей в органах местного самоуправления, замещение которых связано с коррупционными рисками, который в свою очередь составляется по итогам реализации мероприятий по оценке коррупционных рисков.</w:t>
      </w:r>
    </w:p>
    <w:p w:rsidR="00705C33" w:rsidRDefault="00705C33" w:rsidP="00705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антикоррупционным </w:t>
      </w:r>
      <w:r w:rsidRPr="0011313C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705C33" w:rsidRDefault="00705C33" w:rsidP="00705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705C33" w:rsidRDefault="00705C33" w:rsidP="00705C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оценка коррупционных рисков, проведенная органами местного самоуправления области, носила преимущественно поверхностный характер. Это привело к тому, что в перечень, указанный в </w:t>
      </w:r>
      <w:r>
        <w:rPr>
          <w:sz w:val="28"/>
          <w:szCs w:val="28"/>
        </w:rPr>
        <w:lastRenderedPageBreak/>
        <w:t>части 1 статьи 15 Федерального закона № 25-ФЗ, включались должности муниципальной службы, замещение которых явно не сопряжено с коррупционными рисками.</w:t>
      </w:r>
    </w:p>
    <w:p w:rsidR="00705C33" w:rsidRDefault="00705C33" w:rsidP="00705C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2018 году количество муниципальных служащих, представляющих сведения о своих доходах, имуществе и обязательствах имущественного характера, а также доходах, имуществе и обязательствах имущественного характера супруги (супруга), а также несовершеннолетних детей, составило около 9 400 при общей штатной численности муниципальных служащих области около 11 500.</w:t>
      </w:r>
    </w:p>
    <w:p w:rsidR="00705C33" w:rsidRDefault="00705C33" w:rsidP="00705C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настоящее время сложилась необходимость проведения органами местного самоуправления всесторонней оценки коррупционных рисков, возникающих при реализации функций должностными лицами указанных органов, с целью актуализации вышеуказанных перечней.</w:t>
      </w:r>
    </w:p>
    <w:p w:rsidR="00705C33" w:rsidRDefault="00705C33" w:rsidP="00705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мероприятий по оценке коррупционных рисков органам местного самоуправления необходимо руководствоваться методическими рекомендациями </w:t>
      </w:r>
      <w:r w:rsidRPr="00785ABA">
        <w:rPr>
          <w:sz w:val="28"/>
          <w:szCs w:val="28"/>
        </w:rPr>
        <w:t>Министерства труда и социальной защиты Российской Федерации</w:t>
      </w:r>
      <w:r>
        <w:rPr>
          <w:sz w:val="28"/>
          <w:szCs w:val="28"/>
        </w:rPr>
        <w:t xml:space="preserve"> (письмо от 25.12.2014 № 18-0/10/В-8980).</w:t>
      </w:r>
    </w:p>
    <w:p w:rsidR="00705C33" w:rsidRDefault="00705C33" w:rsidP="00705C33">
      <w:pPr>
        <w:ind w:firstLine="709"/>
        <w:contextualSpacing/>
        <w:jc w:val="both"/>
        <w:rPr>
          <w:sz w:val="28"/>
          <w:szCs w:val="28"/>
        </w:rPr>
      </w:pPr>
    </w:p>
    <w:p w:rsidR="00705C33" w:rsidRDefault="00705C33" w:rsidP="00705C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12 л. в 1 экз.</w:t>
      </w:r>
    </w:p>
    <w:p w:rsidR="00705C33" w:rsidRDefault="00705C33" w:rsidP="00705C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5C33" w:rsidRDefault="00705C33" w:rsidP="00705C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5C33" w:rsidRDefault="00705C33" w:rsidP="00705C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854"/>
        <w:gridCol w:w="4717"/>
      </w:tblGrid>
      <w:tr w:rsidR="00705C33" w:rsidRPr="00AC2BBE" w:rsidTr="008F2ACD">
        <w:tc>
          <w:tcPr>
            <w:tcW w:w="5210" w:type="dxa"/>
            <w:shd w:val="clear" w:color="auto" w:fill="auto"/>
          </w:tcPr>
          <w:p w:rsidR="00705C33" w:rsidRDefault="00705C33" w:rsidP="008F2A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705C33" w:rsidRDefault="00705C33" w:rsidP="008F2A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противодействию коррупции</w:t>
            </w:r>
          </w:p>
          <w:p w:rsidR="00705C33" w:rsidRPr="00AC2BBE" w:rsidRDefault="00705C33" w:rsidP="008F2A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 Губернаторе Ростовской области</w:t>
            </w:r>
          </w:p>
        </w:tc>
        <w:tc>
          <w:tcPr>
            <w:tcW w:w="5211" w:type="dxa"/>
            <w:shd w:val="clear" w:color="auto" w:fill="auto"/>
          </w:tcPr>
          <w:p w:rsidR="00705C33" w:rsidRPr="00AC2BBE" w:rsidRDefault="00705C33" w:rsidP="008F2A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5C33" w:rsidRPr="00AC2BBE" w:rsidRDefault="00705C33" w:rsidP="008F2A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5C33" w:rsidRPr="00AC2BBE" w:rsidRDefault="00705C33" w:rsidP="008F2AC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С.Б. Сериков</w:t>
            </w:r>
          </w:p>
        </w:tc>
      </w:tr>
    </w:tbl>
    <w:p w:rsidR="00705C33" w:rsidRPr="00FC3C80" w:rsidRDefault="00705C33" w:rsidP="00705C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5C33" w:rsidRPr="00111CF9" w:rsidRDefault="00705C33" w:rsidP="00705C33">
      <w:pPr>
        <w:rPr>
          <w:sz w:val="16"/>
          <w:szCs w:val="16"/>
        </w:rPr>
      </w:pPr>
    </w:p>
    <w:p w:rsidR="00705C33" w:rsidRPr="00111CF9" w:rsidRDefault="00705C33" w:rsidP="00705C33">
      <w:pPr>
        <w:rPr>
          <w:sz w:val="16"/>
          <w:szCs w:val="16"/>
        </w:rPr>
      </w:pPr>
    </w:p>
    <w:p w:rsidR="00705C33" w:rsidRPr="00111CF9" w:rsidRDefault="00705C33" w:rsidP="00705C33">
      <w:pPr>
        <w:rPr>
          <w:sz w:val="16"/>
          <w:szCs w:val="16"/>
        </w:rPr>
      </w:pPr>
    </w:p>
    <w:p w:rsidR="00705C33" w:rsidRPr="00111CF9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Default="00705C33" w:rsidP="00705C33">
      <w:pPr>
        <w:rPr>
          <w:sz w:val="16"/>
          <w:szCs w:val="16"/>
        </w:rPr>
      </w:pPr>
    </w:p>
    <w:p w:rsidR="00705C33" w:rsidRPr="00142CED" w:rsidRDefault="00705C33" w:rsidP="00705C33">
      <w:pPr>
        <w:pStyle w:val="ad"/>
        <w:rPr>
          <w:sz w:val="16"/>
          <w:szCs w:val="16"/>
        </w:rPr>
      </w:pPr>
      <w:r>
        <w:rPr>
          <w:sz w:val="16"/>
          <w:szCs w:val="16"/>
        </w:rPr>
        <w:t>Игорь Геннадьевич Андронников</w:t>
      </w:r>
    </w:p>
    <w:p w:rsidR="00705C33" w:rsidRPr="00705C33" w:rsidRDefault="00705C33" w:rsidP="00705C33">
      <w:pPr>
        <w:pStyle w:val="ad"/>
        <w:tabs>
          <w:tab w:val="right" w:pos="9355"/>
        </w:tabs>
        <w:rPr>
          <w:sz w:val="16"/>
          <w:szCs w:val="16"/>
        </w:rPr>
      </w:pPr>
      <w:r w:rsidRPr="00142CED">
        <w:rPr>
          <w:sz w:val="16"/>
          <w:szCs w:val="16"/>
        </w:rPr>
        <w:t xml:space="preserve">(863) </w:t>
      </w:r>
      <w:r>
        <w:rPr>
          <w:sz w:val="16"/>
          <w:szCs w:val="16"/>
        </w:rPr>
        <w:t>240 52 77</w:t>
      </w:r>
      <w:r>
        <w:rPr>
          <w:sz w:val="16"/>
          <w:szCs w:val="16"/>
        </w:rPr>
        <w:tab/>
      </w:r>
    </w:p>
    <w:p w:rsidR="00FC72E2" w:rsidRDefault="00A160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Версия 2.0</w:t>
      </w:r>
    </w:p>
    <w:p w:rsidR="00705C33" w:rsidRDefault="00705C33">
      <w:pPr>
        <w:jc w:val="right"/>
        <w:rPr>
          <w:b/>
          <w:sz w:val="28"/>
          <w:szCs w:val="28"/>
        </w:rPr>
      </w:pPr>
    </w:p>
    <w:p w:rsidR="00705C33" w:rsidRPr="005F071E" w:rsidRDefault="00705C33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lastRenderedPageBreak/>
        <w:t>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4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</w:t>
      </w:r>
      <w:r w:rsidRPr="005F071E">
        <w:rPr>
          <w:sz w:val="28"/>
          <w:szCs w:val="28"/>
        </w:rPr>
        <w:lastRenderedPageBreak/>
        <w:t>уплаченных или излишне взысканных сумм налогов и сборов, а также пеней 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>коррупционно-опасных функций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</w:t>
      </w:r>
      <w:r w:rsidR="00A00FE7" w:rsidRPr="005F071E">
        <w:rPr>
          <w:sz w:val="28"/>
          <w:szCs w:val="28"/>
        </w:rPr>
        <w:lastRenderedPageBreak/>
        <w:t>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</w:t>
      </w:r>
      <w:r w:rsidRPr="005F071E">
        <w:rPr>
          <w:sz w:val="28"/>
          <w:szCs w:val="28"/>
        </w:rPr>
        <w:lastRenderedPageBreak/>
        <w:t>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7BD" w:rsidRDefault="001B27BD" w:rsidP="00200F49">
      <w:r>
        <w:separator/>
      </w:r>
    </w:p>
  </w:endnote>
  <w:endnote w:type="continuationSeparator" w:id="1">
    <w:p w:rsidR="001B27BD" w:rsidRDefault="001B27BD" w:rsidP="0020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7BD" w:rsidRDefault="001B27BD" w:rsidP="00200F49">
      <w:r>
        <w:separator/>
      </w:r>
    </w:p>
  </w:footnote>
  <w:footnote w:type="continuationSeparator" w:id="1">
    <w:p w:rsidR="001B27BD" w:rsidRDefault="001B27BD" w:rsidP="00200F49">
      <w:r>
        <w:continuationSeparator/>
      </w:r>
    </w:p>
  </w:footnote>
  <w:footnote w:id="2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3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4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FE5F41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FE5F41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5C33">
      <w:rPr>
        <w:rStyle w:val="a7"/>
        <w:noProof/>
      </w:rPr>
      <w:t>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27D8C"/>
    <w:rsid w:val="0014462A"/>
    <w:rsid w:val="0015510A"/>
    <w:rsid w:val="00157AE6"/>
    <w:rsid w:val="00174F00"/>
    <w:rsid w:val="00175536"/>
    <w:rsid w:val="0018662B"/>
    <w:rsid w:val="001A3841"/>
    <w:rsid w:val="001A3EFE"/>
    <w:rsid w:val="001A63FA"/>
    <w:rsid w:val="001A6C65"/>
    <w:rsid w:val="001B27BD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755D7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05C33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6180B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1A87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5BE1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  <w:style w:type="paragraph" w:styleId="ad">
    <w:name w:val="No Spacing"/>
    <w:uiPriority w:val="1"/>
    <w:qFormat/>
    <w:rsid w:val="00705C33"/>
    <w:pPr>
      <w:jc w:val="left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9067-5FB7-4BA7-9530-2251538F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4585</Words>
  <Characters>26136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Андронников Игорь Геннадьевич</dc:creator>
  <cp:lastModifiedBy>Администрация Миллеровского района</cp:lastModifiedBy>
  <cp:revision>3</cp:revision>
  <cp:lastPrinted>2014-12-24T07:30:00Z</cp:lastPrinted>
  <dcterms:created xsi:type="dcterms:W3CDTF">2018-11-12T15:05:00Z</dcterms:created>
  <dcterms:modified xsi:type="dcterms:W3CDTF">2018-11-13T06:15:00Z</dcterms:modified>
</cp:coreProperties>
</file>