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</w:t>
      </w:r>
      <w:proofErr w:type="gramEnd"/>
      <w:r w:rsidRPr="005F071E">
        <w:rPr>
          <w:sz w:val="28"/>
          <w:szCs w:val="28"/>
        </w:rPr>
        <w:t xml:space="preserve">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F071E">
        <w:rPr>
          <w:iCs/>
          <w:sz w:val="28"/>
          <w:szCs w:val="28"/>
        </w:rPr>
        <w:t>коррупциогенные</w:t>
      </w:r>
      <w:proofErr w:type="spellEnd"/>
      <w:r w:rsidRPr="005F071E">
        <w:rPr>
          <w:iCs/>
          <w:sz w:val="28"/>
          <w:szCs w:val="28"/>
        </w:rPr>
        <w:t xml:space="preserve">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положения нормативных правовых актов (проектов нормативных правовых актов), устанавливающие для </w:t>
      </w:r>
      <w:proofErr w:type="spellStart"/>
      <w:r w:rsidRPr="005F071E">
        <w:rPr>
          <w:sz w:val="28"/>
          <w:szCs w:val="28"/>
        </w:rPr>
        <w:t>правоприменителя</w:t>
      </w:r>
      <w:proofErr w:type="spellEnd"/>
      <w:r w:rsidRPr="005F071E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при реализации которых наиболее вероятно возникновение коррупции (далее - </w:t>
      </w:r>
      <w:proofErr w:type="spellStart"/>
      <w:r w:rsidRPr="005F071E">
        <w:rPr>
          <w:sz w:val="28"/>
          <w:szCs w:val="28"/>
        </w:rPr>
        <w:t>коррупционно</w:t>
      </w:r>
      <w:proofErr w:type="spellEnd"/>
      <w:r w:rsidRPr="005F071E">
        <w:rPr>
          <w:sz w:val="28"/>
          <w:szCs w:val="28"/>
        </w:rPr>
        <w:t>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</w:t>
      </w:r>
      <w:proofErr w:type="spellStart"/>
      <w:r w:rsidRPr="005F071E">
        <w:rPr>
          <w:sz w:val="28"/>
          <w:szCs w:val="28"/>
        </w:rPr>
        <w:t>коррупционно</w:t>
      </w:r>
      <w:proofErr w:type="spellEnd"/>
      <w:r w:rsidRPr="005F071E">
        <w:rPr>
          <w:sz w:val="28"/>
          <w:szCs w:val="28"/>
        </w:rPr>
        <w:t xml:space="preserve">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9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</w:t>
      </w:r>
      <w:proofErr w:type="gramEnd"/>
      <w:r w:rsidRPr="005F071E">
        <w:rPr>
          <w:sz w:val="28"/>
          <w:szCs w:val="28"/>
        </w:rPr>
        <w:t xml:space="preserve">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</w:t>
      </w:r>
      <w:proofErr w:type="spellStart"/>
      <w:r w:rsidR="001A3EFE" w:rsidRPr="005F071E">
        <w:rPr>
          <w:sz w:val="28"/>
          <w:szCs w:val="28"/>
        </w:rPr>
        <w:t>коррупционно</w:t>
      </w:r>
      <w:proofErr w:type="spellEnd"/>
      <w:r w:rsidR="001A3EFE" w:rsidRPr="005F071E">
        <w:rPr>
          <w:sz w:val="28"/>
          <w:szCs w:val="28"/>
        </w:rPr>
        <w:t xml:space="preserve">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</w:t>
      </w:r>
      <w:proofErr w:type="spellStart"/>
      <w:r w:rsidRPr="005F071E">
        <w:rPr>
          <w:sz w:val="28"/>
          <w:szCs w:val="28"/>
        </w:rPr>
        <w:t>коррупционно</w:t>
      </w:r>
      <w:proofErr w:type="spellEnd"/>
      <w:r w:rsidRPr="005F071E">
        <w:rPr>
          <w:sz w:val="28"/>
          <w:szCs w:val="28"/>
        </w:rPr>
        <w:t>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 xml:space="preserve">т.е. функция является </w:t>
      </w:r>
      <w:proofErr w:type="spellStart"/>
      <w:r w:rsidR="002B48BE" w:rsidRPr="005F071E">
        <w:rPr>
          <w:sz w:val="28"/>
          <w:szCs w:val="28"/>
        </w:rPr>
        <w:t>коррупционно</w:t>
      </w:r>
      <w:proofErr w:type="spellEnd"/>
      <w:r w:rsidR="002B48BE" w:rsidRPr="005F071E">
        <w:rPr>
          <w:sz w:val="28"/>
          <w:szCs w:val="28"/>
        </w:rPr>
        <w:t>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</w:t>
      </w:r>
      <w:proofErr w:type="spellStart"/>
      <w:r w:rsidRPr="005F071E">
        <w:rPr>
          <w:sz w:val="28"/>
          <w:szCs w:val="28"/>
        </w:rPr>
        <w:t>коррупционно</w:t>
      </w:r>
      <w:proofErr w:type="spellEnd"/>
      <w:r w:rsidRPr="005F071E">
        <w:rPr>
          <w:sz w:val="28"/>
          <w:szCs w:val="28"/>
        </w:rPr>
        <w:t>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Перечень </w:t>
      </w:r>
      <w:proofErr w:type="spellStart"/>
      <w:r w:rsidRPr="005F071E">
        <w:rPr>
          <w:sz w:val="28"/>
          <w:szCs w:val="28"/>
        </w:rPr>
        <w:t>коррупционно</w:t>
      </w:r>
      <w:proofErr w:type="spellEnd"/>
      <w:r w:rsidRPr="005F071E">
        <w:rPr>
          <w:sz w:val="28"/>
          <w:szCs w:val="28"/>
        </w:rPr>
        <w:t xml:space="preserve">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>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  <w:proofErr w:type="gramEnd"/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</w:t>
      </w:r>
      <w:proofErr w:type="spellStart"/>
      <w:r w:rsidRPr="005F071E">
        <w:rPr>
          <w:sz w:val="28"/>
          <w:szCs w:val="28"/>
        </w:rPr>
        <w:t>коррупционно</w:t>
      </w:r>
      <w:proofErr w:type="spellEnd"/>
      <w:r w:rsidRPr="005F071E">
        <w:rPr>
          <w:sz w:val="28"/>
          <w:szCs w:val="28"/>
        </w:rPr>
        <w:t xml:space="preserve">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  <w:proofErr w:type="gramEnd"/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</w:t>
      </w:r>
      <w:proofErr w:type="spellStart"/>
      <w:r w:rsidRPr="005F071E">
        <w:rPr>
          <w:sz w:val="28"/>
          <w:szCs w:val="28"/>
        </w:rPr>
        <w:t>коррупционно</w:t>
      </w:r>
      <w:proofErr w:type="spellEnd"/>
      <w:r w:rsidRPr="005F071E">
        <w:rPr>
          <w:sz w:val="28"/>
          <w:szCs w:val="28"/>
        </w:rPr>
        <w:t xml:space="preserve">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- </w:t>
      </w:r>
      <w:proofErr w:type="gramStart"/>
      <w:r w:rsidRPr="005F071E">
        <w:rPr>
          <w:sz w:val="28"/>
          <w:szCs w:val="28"/>
        </w:rPr>
        <w:t>искажении</w:t>
      </w:r>
      <w:proofErr w:type="gramEnd"/>
      <w:r w:rsidRPr="005F071E">
        <w:rPr>
          <w:sz w:val="28"/>
          <w:szCs w:val="28"/>
        </w:rPr>
        <w:t xml:space="preserve">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попытках</w:t>
      </w:r>
      <w:proofErr w:type="gramEnd"/>
      <w:r w:rsidRPr="005F071E">
        <w:rPr>
          <w:sz w:val="28"/>
          <w:szCs w:val="28"/>
        </w:rPr>
        <w:t xml:space="preserve">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действиях</w:t>
      </w:r>
      <w:proofErr w:type="gramEnd"/>
      <w:r w:rsidRPr="005F071E">
        <w:rPr>
          <w:sz w:val="28"/>
          <w:szCs w:val="28"/>
        </w:rPr>
        <w:t xml:space="preserve">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бездействии</w:t>
      </w:r>
      <w:proofErr w:type="gramEnd"/>
      <w:r w:rsidRPr="005F071E">
        <w:rPr>
          <w:sz w:val="28"/>
          <w:szCs w:val="28"/>
        </w:rPr>
        <w:t xml:space="preserve">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получении</w:t>
      </w:r>
      <w:proofErr w:type="gramEnd"/>
      <w:r w:rsidRPr="005F071E">
        <w:rPr>
          <w:sz w:val="28"/>
          <w:szCs w:val="28"/>
        </w:rPr>
        <w:t xml:space="preserve">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  <w:proofErr w:type="gramEnd"/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>18 мая 2009 г. № 557 «Об утверждении перечня должностей федеральной государственной службы, при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52213" w:rsidRPr="005F071E">
        <w:rPr>
          <w:rFonts w:eastAsiaTheme="minorHAnsi"/>
          <w:sz w:val="28"/>
          <w:szCs w:val="28"/>
          <w:lang w:eastAsia="en-US"/>
        </w:rPr>
        <w:t>назначении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A058A5" w:rsidRPr="005F071E">
        <w:rPr>
          <w:rFonts w:eastAsiaTheme="minorHAnsi"/>
          <w:sz w:val="28"/>
          <w:szCs w:val="28"/>
          <w:lang w:eastAsia="en-US"/>
        </w:rPr>
        <w:t>мерах</w:t>
      </w:r>
      <w:proofErr w:type="gramEnd"/>
      <w:r w:rsidR="00A058A5" w:rsidRPr="005F071E">
        <w:rPr>
          <w:rFonts w:eastAsiaTheme="minorHAnsi"/>
          <w:sz w:val="28"/>
          <w:szCs w:val="28"/>
          <w:lang w:eastAsia="en-US"/>
        </w:rPr>
        <w:t xml:space="preserve">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 xml:space="preserve">2010 г. № 821).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</w:t>
      </w:r>
      <w:proofErr w:type="gramEnd"/>
      <w:r w:rsidR="00DB06E4" w:rsidRPr="005F071E">
        <w:rPr>
          <w:sz w:val="28"/>
          <w:szCs w:val="28"/>
        </w:rPr>
        <w:t xml:space="preserve">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>) и несовершеннолетних детей</w:t>
      </w:r>
      <w:proofErr w:type="gramStart"/>
      <w:r w:rsidR="00DB06E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.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 xml:space="preserve">. Минимизация коррупционных рисков либо их устранение в конкретных управленческих процессах реализации </w:t>
      </w:r>
      <w:proofErr w:type="spellStart"/>
      <w:r w:rsidRPr="005F071E">
        <w:rPr>
          <w:b/>
          <w:sz w:val="28"/>
          <w:szCs w:val="28"/>
        </w:rPr>
        <w:t>коррупционно</w:t>
      </w:r>
      <w:proofErr w:type="spellEnd"/>
      <w:r w:rsidRPr="005F071E">
        <w:rPr>
          <w:b/>
          <w:sz w:val="28"/>
          <w:szCs w:val="28"/>
        </w:rPr>
        <w:t>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</w:t>
      </w:r>
      <w:proofErr w:type="spellStart"/>
      <w:r w:rsidRPr="005F071E">
        <w:t>коррупционно</w:t>
      </w:r>
      <w:proofErr w:type="spellEnd"/>
      <w:r w:rsidRPr="005F071E">
        <w:t>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</w:t>
      </w:r>
      <w:proofErr w:type="gramStart"/>
      <w:r w:rsidRPr="005F071E">
        <w:rPr>
          <w:sz w:val="28"/>
          <w:szCs w:val="28"/>
        </w:rPr>
        <w:t>контроля за</w:t>
      </w:r>
      <w:proofErr w:type="gramEnd"/>
      <w:r w:rsidRPr="005F071E">
        <w:rPr>
          <w:sz w:val="28"/>
          <w:szCs w:val="28"/>
        </w:rPr>
        <w:t xml:space="preserve">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</w:t>
      </w:r>
      <w:proofErr w:type="spellStart"/>
      <w:r w:rsidRPr="005F071E">
        <w:rPr>
          <w:sz w:val="28"/>
          <w:szCs w:val="28"/>
        </w:rPr>
        <w:t>коррупционно</w:t>
      </w:r>
      <w:proofErr w:type="spellEnd"/>
      <w:r w:rsidRPr="005F071E">
        <w:rPr>
          <w:sz w:val="28"/>
          <w:szCs w:val="28"/>
        </w:rPr>
        <w:t>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 w:rsidRPr="005F071E">
        <w:rPr>
          <w:rFonts w:ascii="Times New Roman" w:hAnsi="Times New Roman" w:cs="Times New Roman"/>
          <w:sz w:val="28"/>
          <w:szCs w:val="28"/>
        </w:rPr>
        <w:t xml:space="preserve">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четкой регламентации способа и сроков совершения действий должностным лицом при осуществлении </w:t>
      </w:r>
      <w:proofErr w:type="spellStart"/>
      <w:r w:rsidRPr="005F071E">
        <w:rPr>
          <w:sz w:val="28"/>
          <w:szCs w:val="28"/>
        </w:rPr>
        <w:t>коррупционно</w:t>
      </w:r>
      <w:proofErr w:type="spellEnd"/>
      <w:r w:rsidRPr="005F071E">
        <w:rPr>
          <w:sz w:val="28"/>
          <w:szCs w:val="28"/>
        </w:rPr>
        <w:t>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организации внутреннего </w:t>
      </w:r>
      <w:proofErr w:type="gramStart"/>
      <w:r w:rsidRPr="005F071E">
        <w:rPr>
          <w:sz w:val="28"/>
          <w:szCs w:val="28"/>
        </w:rPr>
        <w:t>контроля за</w:t>
      </w:r>
      <w:proofErr w:type="gramEnd"/>
      <w:r w:rsidRPr="005F071E">
        <w:rPr>
          <w:sz w:val="28"/>
          <w:szCs w:val="28"/>
        </w:rPr>
        <w:t xml:space="preserve">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</w:t>
      </w:r>
      <w:proofErr w:type="gramStart"/>
      <w:r w:rsidRPr="005F071E">
        <w:rPr>
          <w:sz w:val="28"/>
          <w:szCs w:val="28"/>
        </w:rPr>
        <w:t xml:space="preserve">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="00D16BD5" w:rsidRPr="005F071E">
        <w:rPr>
          <w:rFonts w:eastAsiaTheme="minorHAnsi"/>
          <w:sz w:val="28"/>
          <w:szCs w:val="28"/>
          <w:lang w:eastAsia="en-US"/>
        </w:rPr>
        <w:t>»)</w:t>
      </w:r>
      <w:r w:rsidRPr="005F071E">
        <w:rPr>
          <w:sz w:val="28"/>
          <w:szCs w:val="28"/>
        </w:rPr>
        <w:t xml:space="preserve">, </w:t>
      </w:r>
      <w:proofErr w:type="gramStart"/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5F071E">
        <w:rPr>
          <w:sz w:val="28"/>
          <w:szCs w:val="28"/>
        </w:rPr>
        <w:t>коррупционно</w:t>
      </w:r>
      <w:proofErr w:type="spellEnd"/>
      <w:r w:rsidRPr="005F071E">
        <w:rPr>
          <w:sz w:val="28"/>
          <w:szCs w:val="28"/>
        </w:rPr>
        <w:t>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</w:t>
      </w:r>
      <w:proofErr w:type="spellStart"/>
      <w:r w:rsidR="00EF3B0A" w:rsidRPr="005F071E">
        <w:rPr>
          <w:sz w:val="28"/>
          <w:szCs w:val="28"/>
        </w:rPr>
        <w:t>коррупционно</w:t>
      </w:r>
      <w:proofErr w:type="spellEnd"/>
      <w:r w:rsidR="00EF3B0A" w:rsidRPr="005F071E">
        <w:rPr>
          <w:sz w:val="28"/>
          <w:szCs w:val="28"/>
        </w:rPr>
        <w:t xml:space="preserve">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корректировка перечня </w:t>
      </w:r>
      <w:proofErr w:type="spellStart"/>
      <w:r w:rsidRPr="005F071E">
        <w:rPr>
          <w:sz w:val="28"/>
          <w:szCs w:val="28"/>
        </w:rPr>
        <w:t>коррупционно</w:t>
      </w:r>
      <w:proofErr w:type="spellEnd"/>
      <w:r w:rsidRPr="005F071E">
        <w:rPr>
          <w:sz w:val="28"/>
          <w:szCs w:val="28"/>
        </w:rPr>
        <w:t>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 xml:space="preserve">минимизации коррупционных рисков либо их устранению в деятельности должностных лиц, а также по внесению изменений в перечень </w:t>
      </w:r>
      <w:proofErr w:type="spellStart"/>
      <w:r w:rsidR="009C1550" w:rsidRPr="005F071E">
        <w:rPr>
          <w:sz w:val="28"/>
          <w:szCs w:val="28"/>
        </w:rPr>
        <w:t>коррупционно</w:t>
      </w:r>
      <w:proofErr w:type="spellEnd"/>
      <w:r w:rsidR="009C1550" w:rsidRPr="005F071E">
        <w:rPr>
          <w:sz w:val="28"/>
          <w:szCs w:val="28"/>
        </w:rPr>
        <w:t>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</w:t>
      </w:r>
      <w:proofErr w:type="gramEnd"/>
      <w:r w:rsidRPr="005F071E">
        <w:rPr>
          <w:rFonts w:eastAsiaTheme="minorHAnsi"/>
          <w:sz w:val="28"/>
          <w:szCs w:val="28"/>
          <w:lang w:eastAsia="en-US"/>
        </w:rPr>
        <w:t xml:space="preserve">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</w:t>
      </w:r>
      <w:proofErr w:type="gramEnd"/>
      <w:r w:rsidR="00062B86" w:rsidRPr="005F071E">
        <w:rPr>
          <w:sz w:val="28"/>
          <w:szCs w:val="28"/>
        </w:rPr>
        <w:t xml:space="preserve"> </w:t>
      </w:r>
      <w:proofErr w:type="gramStart"/>
      <w:r w:rsidR="00062B86" w:rsidRPr="005F071E">
        <w:rPr>
          <w:sz w:val="28"/>
          <w:szCs w:val="28"/>
        </w:rPr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  <w:proofErr w:type="gramEnd"/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0B" w:rsidRDefault="00B6180B" w:rsidP="00200F49">
      <w:r>
        <w:separator/>
      </w:r>
    </w:p>
  </w:endnote>
  <w:endnote w:type="continuationSeparator" w:id="0">
    <w:p w:rsidR="00B6180B" w:rsidRDefault="00B6180B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0B" w:rsidRDefault="00B6180B" w:rsidP="00200F49">
      <w:r>
        <w:separator/>
      </w:r>
    </w:p>
  </w:footnote>
  <w:footnote w:type="continuationSeparator" w:id="0">
    <w:p w:rsidR="00B6180B" w:rsidRDefault="00B6180B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proofErr w:type="gramStart"/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  <w:proofErr w:type="gramEnd"/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2F60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4462A"/>
    <w:rsid w:val="0015510A"/>
    <w:rsid w:val="00157AE6"/>
    <w:rsid w:val="00174F00"/>
    <w:rsid w:val="00175536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6180B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32F60"/>
    <w:rsid w:val="00C7126B"/>
    <w:rsid w:val="00C74AA1"/>
    <w:rsid w:val="00C773B6"/>
    <w:rsid w:val="00C92122"/>
    <w:rsid w:val="00C935F6"/>
    <w:rsid w:val="00CA1A87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E0818AD70AAA66E18CCE35262A6D227D73871FDA9B97A4D2923B64n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A4B9-A0CB-4361-ACA2-CD7FA98A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4106</Words>
  <Characters>23405</Characters>
  <Application>Microsoft Office Word</Application>
  <DocSecurity>4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Андронников Игорь Геннадьевич</dc:creator>
  <cp:lastModifiedBy>User</cp:lastModifiedBy>
  <cp:revision>2</cp:revision>
  <cp:lastPrinted>2014-12-24T07:30:00Z</cp:lastPrinted>
  <dcterms:created xsi:type="dcterms:W3CDTF">2018-11-12T07:24:00Z</dcterms:created>
  <dcterms:modified xsi:type="dcterms:W3CDTF">2018-11-12T07:24:00Z</dcterms:modified>
</cp:coreProperties>
</file>